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DA" w:rsidRPr="003226A4" w:rsidRDefault="00A06EDA" w:rsidP="00A06EDA">
      <w:pPr>
        <w:kinsoku w:val="0"/>
        <w:overflowPunct w:val="0"/>
        <w:autoSpaceDE/>
        <w:autoSpaceDN/>
        <w:adjustRightInd/>
        <w:spacing w:before="16"/>
        <w:ind w:left="7200" w:right="7391"/>
        <w:jc w:val="both"/>
        <w:textAlignment w:val="baseline"/>
        <w:rPr>
          <w:rFonts w:asciiTheme="minorHAnsi" w:hAnsiTheme="minorHAnsi" w:cstheme="minorHAnsi"/>
          <w:sz w:val="24"/>
          <w:szCs w:val="24"/>
          <w:lang w:val="es-EC"/>
        </w:rPr>
      </w:pPr>
      <w:r w:rsidRPr="003226A4">
        <w:rPr>
          <w:rFonts w:asciiTheme="minorHAnsi" w:hAnsiTheme="minorHAnsi" w:cstheme="minorHAnsi"/>
          <w:noProof/>
          <w:sz w:val="24"/>
          <w:szCs w:val="24"/>
          <w:lang w:val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00075" cy="87630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EDA" w:rsidRPr="003226A4" w:rsidRDefault="00A06EDA" w:rsidP="00A06EDA">
      <w:pPr>
        <w:kinsoku w:val="0"/>
        <w:overflowPunct w:val="0"/>
        <w:autoSpaceDE/>
        <w:autoSpaceDN/>
        <w:adjustRightInd/>
        <w:spacing w:before="21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3226A4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UNIVERSIDAD DE CUENCA</w:t>
      </w:r>
    </w:p>
    <w:p w:rsidR="00A06EDA" w:rsidRPr="003226A4" w:rsidRDefault="00A06EDA" w:rsidP="00A06EDA">
      <w:pPr>
        <w:kinsoku w:val="0"/>
        <w:overflowPunct w:val="0"/>
        <w:autoSpaceDE/>
        <w:autoSpaceDN/>
        <w:adjustRightInd/>
        <w:spacing w:before="70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3226A4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CONVOCATORIA A CONCURSO DE MERITOS</w:t>
      </w:r>
    </w:p>
    <w:p w:rsidR="00A06EDA" w:rsidRPr="003226A4" w:rsidRDefault="00A06EDA" w:rsidP="00A06EDA">
      <w:pPr>
        <w:kinsoku w:val="0"/>
        <w:overflowPunct w:val="0"/>
        <w:autoSpaceDE/>
        <w:autoSpaceDN/>
        <w:adjustRightInd/>
        <w:spacing w:before="64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  <w:r w:rsidRPr="003226A4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 xml:space="preserve">FACULTAD DE </w:t>
      </w:r>
      <w:r w:rsidR="00BC0794"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  <w:t>INGENIERÍA</w:t>
      </w: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64" w:line="185" w:lineRule="exact"/>
        <w:ind w:left="29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64" w:line="185" w:lineRule="exact"/>
        <w:ind w:left="29"/>
        <w:textAlignment w:val="baseline"/>
        <w:rPr>
          <w:rFonts w:ascii="Arial" w:hAnsi="Arial" w:cs="Arial"/>
          <w:b/>
          <w:bCs/>
          <w:sz w:val="16"/>
          <w:szCs w:val="16"/>
          <w:lang w:val="es-EC" w:eastAsia="es-ES"/>
        </w:rPr>
      </w:pPr>
      <w:r w:rsidRPr="003226A4">
        <w:rPr>
          <w:rFonts w:ascii="Arial" w:hAnsi="Arial" w:cs="Arial"/>
          <w:b/>
          <w:bCs/>
          <w:sz w:val="16"/>
          <w:szCs w:val="16"/>
          <w:lang w:val="es-EC" w:eastAsia="es-ES"/>
        </w:rPr>
        <w:t xml:space="preserve">La Señora Rectora de la Universidad de Cuenca a través de la Dirección de Talento Humano, convoca al proceso de selección de </w:t>
      </w:r>
      <w:r w:rsidR="00BC0794">
        <w:rPr>
          <w:rFonts w:ascii="Arial" w:hAnsi="Arial" w:cs="Arial"/>
          <w:b/>
          <w:bCs/>
          <w:sz w:val="16"/>
          <w:szCs w:val="16"/>
          <w:lang w:val="es-EC" w:eastAsia="es-ES"/>
        </w:rPr>
        <w:t>Técnico de Laboratorio</w:t>
      </w:r>
      <w:r w:rsidRPr="003226A4">
        <w:rPr>
          <w:rFonts w:ascii="Arial" w:hAnsi="Arial" w:cs="Arial"/>
          <w:b/>
          <w:bCs/>
          <w:sz w:val="16"/>
          <w:szCs w:val="16"/>
          <w:lang w:val="es-EC" w:eastAsia="es-ES"/>
        </w:rPr>
        <w:t xml:space="preserve"> No </w:t>
      </w:r>
      <w:r w:rsidR="00BC0794">
        <w:rPr>
          <w:rFonts w:ascii="Arial" w:hAnsi="Arial" w:cs="Arial"/>
          <w:b/>
          <w:bCs/>
          <w:sz w:val="16"/>
          <w:szCs w:val="16"/>
          <w:lang w:val="es-EC" w:eastAsia="es-ES"/>
        </w:rPr>
        <w:t>titular</w:t>
      </w:r>
      <w:r w:rsidRPr="003226A4">
        <w:rPr>
          <w:rFonts w:ascii="Arial" w:hAnsi="Arial" w:cs="Arial"/>
          <w:b/>
          <w:bCs/>
          <w:sz w:val="16"/>
          <w:szCs w:val="16"/>
          <w:lang w:val="es-EC" w:eastAsia="es-ES"/>
        </w:rPr>
        <w:t xml:space="preserve"> para la Facultad de </w:t>
      </w:r>
      <w:r w:rsidR="00BC0794">
        <w:rPr>
          <w:rFonts w:ascii="Arial" w:hAnsi="Arial" w:cs="Arial"/>
          <w:b/>
          <w:bCs/>
          <w:sz w:val="16"/>
          <w:szCs w:val="16"/>
          <w:lang w:val="es-EC" w:eastAsia="es-ES"/>
        </w:rPr>
        <w:t>Ingeniería</w:t>
      </w:r>
      <w:r w:rsidRPr="003226A4">
        <w:rPr>
          <w:rFonts w:ascii="Arial" w:hAnsi="Arial" w:cs="Arial"/>
          <w:b/>
          <w:bCs/>
          <w:sz w:val="16"/>
          <w:szCs w:val="16"/>
          <w:lang w:val="es-EC" w:eastAsia="es-ES"/>
        </w:rPr>
        <w:t xml:space="preserve"> de la Universidad de Cuenca, conforme al siguiente detalle:</w:t>
      </w:r>
    </w:p>
    <w:p w:rsidR="00BC21C5" w:rsidRPr="003226A4" w:rsidRDefault="00BC21C5" w:rsidP="00A06EDA">
      <w:pPr>
        <w:kinsoku w:val="0"/>
        <w:overflowPunct w:val="0"/>
        <w:autoSpaceDE/>
        <w:autoSpaceDN/>
        <w:adjustRightInd/>
        <w:spacing w:before="64" w:line="185" w:lineRule="exact"/>
        <w:ind w:left="29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es-EC" w:eastAsia="es-ES"/>
        </w:rPr>
      </w:pPr>
    </w:p>
    <w:tbl>
      <w:tblPr>
        <w:tblW w:w="14732" w:type="dxa"/>
        <w:jc w:val="center"/>
        <w:tblLayout w:type="fixed"/>
        <w:tblLook w:val="0400" w:firstRow="0" w:lastRow="0" w:firstColumn="0" w:lastColumn="0" w:noHBand="0" w:noVBand="1"/>
      </w:tblPr>
      <w:tblGrid>
        <w:gridCol w:w="557"/>
        <w:gridCol w:w="1843"/>
        <w:gridCol w:w="1418"/>
        <w:gridCol w:w="1417"/>
        <w:gridCol w:w="1418"/>
        <w:gridCol w:w="1559"/>
        <w:gridCol w:w="2693"/>
        <w:gridCol w:w="2835"/>
        <w:gridCol w:w="992"/>
      </w:tblGrid>
      <w:tr w:rsidR="003B6E15" w:rsidRPr="000E1A00" w:rsidTr="00B93ED7">
        <w:trPr>
          <w:trHeight w:val="689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CARRRERA O PROGRAMA DE INVESTIGACIÓN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CATEGORÍA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DEDICACIÓN              TC-40 H                              MT-20 H                                TP- &lt; 20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REQUISITOS ACADÉMICOS TÍTULOS: (TERCER NIVEL, PhD o MAESTRÍA AFÍN AL ÁREA DE LA CÁTEDRA)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D7" w:rsidRPr="00B93ED7" w:rsidRDefault="00B93ED7" w:rsidP="00B93ED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COADYUVA</w:t>
            </w:r>
            <w:r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 xml:space="preserve">CION </w:t>
            </w: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AL PROCESO DE</w:t>
            </w:r>
          </w:p>
          <w:p w:rsidR="00A06EDA" w:rsidRPr="00B93ED7" w:rsidRDefault="00B93ED7" w:rsidP="00B93ED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APRENDIZAJE</w:t>
            </w:r>
            <w:r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 xml:space="preserve"> EN: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DISTRIBUTIVO Y ACTIVIDADES ASIGNADAS POR EL H. CONSEJO DIRECTIVO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A06EDA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R.M.U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DA" w:rsidRPr="00B93ED7" w:rsidRDefault="001149B2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</w:pPr>
            <w:r w:rsidRPr="00B93ED7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  <w:lang w:val="es-EC"/>
              </w:rPr>
              <w:t>PARTIDA</w:t>
            </w:r>
          </w:p>
        </w:tc>
      </w:tr>
      <w:tr w:rsidR="003B6E15" w:rsidRPr="003226A4" w:rsidTr="00B93ED7">
        <w:trPr>
          <w:trHeight w:val="689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1D0C" w:rsidRPr="003226A4" w:rsidRDefault="003C1D0C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Default="003C1D0C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Ingeniería</w:t>
            </w:r>
          </w:p>
          <w:p w:rsidR="003C1D0C" w:rsidRDefault="003C1D0C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Civil</w:t>
            </w:r>
          </w:p>
          <w:p w:rsidR="000E1A00" w:rsidRPr="003226A4" w:rsidRDefault="000E1A00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419"/>
              </w:rPr>
              <w:t xml:space="preserve">Laboratorio de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419"/>
              </w:rPr>
              <w:t>Geotécnia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419"/>
              </w:rPr>
              <w:t xml:space="preserve"> y Materiales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Pr="003226A4" w:rsidRDefault="000E1A00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Técnico</w:t>
            </w:r>
            <w:r w:rsidR="003C1D0C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 de Laboratorio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Pr="003226A4" w:rsidRDefault="003C1D0C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TC-40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Pr="003226A4" w:rsidRDefault="000E1A00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3226A4">
              <w:rPr>
                <w:rFonts w:ascii="Garamond" w:hAnsi="Garamond"/>
                <w:b/>
                <w:sz w:val="18"/>
                <w:szCs w:val="18"/>
                <w:lang w:val="es-419"/>
              </w:rPr>
              <w:t>TERCER NIVEL</w:t>
            </w:r>
            <w:r w:rsidRPr="003226A4">
              <w:rPr>
                <w:rFonts w:ascii="Garamond" w:hAnsi="Garamond"/>
                <w:sz w:val="18"/>
                <w:szCs w:val="18"/>
                <w:lang w:val="es-419"/>
              </w:rPr>
              <w:t xml:space="preserve">: 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  <w:lang w:val="es-419"/>
              </w:rPr>
              <w:t>Ingeniero Civil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Pr="003226A4" w:rsidRDefault="003C1D0C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Laboratorista de Geotecnia y Materiales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Manejo de Laboratorio de Suelos</w:t>
            </w:r>
          </w:p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Ensayos de laboratorio: Suelos, Asfaltos y Hormigones</w:t>
            </w:r>
          </w:p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Asesoramiento a estudiantes en realización de ensayos,</w:t>
            </w:r>
          </w:p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Calibración de Equipos empleados en Laboratorio</w:t>
            </w:r>
          </w:p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Manejo de Densímetro nuclear, conocimientos de trámites: calibración, pruebas de fuga y de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movilización;  conocimientos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 de procedimientos de majeo de situaciones de emergencia;</w:t>
            </w:r>
          </w:p>
          <w:p w:rsidR="003C1D0C" w:rsidRDefault="003C1D0C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Recepción de muestras, realización de ensayos, elaboración de informes</w:t>
            </w:r>
          </w:p>
          <w:p w:rsidR="000E1A00" w:rsidRDefault="000E1A00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lastRenderedPageBreak/>
              <w:t>Aplicación de normas ASTM de suelos, asfaltos y hormigones,</w:t>
            </w:r>
          </w:p>
          <w:p w:rsidR="000E1A00" w:rsidRDefault="000E1A00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Conocimientos Generales de idioma Ingle</w:t>
            </w:r>
            <w:r w:rsidR="0086735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s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;</w:t>
            </w:r>
          </w:p>
          <w:p w:rsidR="000E1A00" w:rsidRPr="003226A4" w:rsidRDefault="000E1A00" w:rsidP="003C1D0C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Manejo de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graficadores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 xml:space="preserve"> vectoriales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69" w:rsidRPr="00502969" w:rsidRDefault="00502969" w:rsidP="0050296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02969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lastRenderedPageBreak/>
              <w:t>Profesional. RMU $ 1000,00</w:t>
            </w:r>
          </w:p>
          <w:p w:rsidR="003C1D0C" w:rsidRPr="003226A4" w:rsidRDefault="00502969" w:rsidP="0050296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502969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  <w:t>Maestría RMU $ 1.400,00(cuando se cumpla lo prescrito en el reglamento vigente)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0C" w:rsidRPr="003226A4" w:rsidRDefault="000E1A00" w:rsidP="00EA686A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  <w:lang w:val="es-EC"/>
              </w:rPr>
            </w:pPr>
            <w:r w:rsidRPr="003226A4">
              <w:rPr>
                <w:rFonts w:ascii="Garamond" w:eastAsia="Garamond" w:hAnsi="Garamond" w:cs="Garamond"/>
                <w:color w:val="000000"/>
                <w:sz w:val="18"/>
                <w:szCs w:val="18"/>
                <w:lang w:val="es-419"/>
              </w:rPr>
              <w:t>Fondos del plantel para pagos de remuneraciones</w:t>
            </w:r>
          </w:p>
        </w:tc>
      </w:tr>
    </w:tbl>
    <w:p w:rsidR="00A06EDA" w:rsidRPr="003226A4" w:rsidRDefault="00A06EDA" w:rsidP="00A06EDA">
      <w:pPr>
        <w:kinsoku w:val="0"/>
        <w:overflowPunct w:val="0"/>
        <w:autoSpaceDE/>
        <w:autoSpaceDN/>
        <w:adjustRightInd/>
        <w:spacing w:line="20" w:lineRule="exact"/>
        <w:ind w:right="14"/>
        <w:jc w:val="both"/>
        <w:textAlignment w:val="baseline"/>
        <w:rPr>
          <w:rFonts w:asciiTheme="minorHAnsi" w:hAnsiTheme="minorHAnsi" w:cstheme="minorHAnsi"/>
          <w:sz w:val="24"/>
          <w:szCs w:val="24"/>
          <w:lang w:val="es-419"/>
        </w:rPr>
      </w:pPr>
    </w:p>
    <w:p w:rsidR="00A06EDA" w:rsidRPr="003226A4" w:rsidRDefault="00A06EDA" w:rsidP="00A06EDA">
      <w:pPr>
        <w:kinsoku w:val="0"/>
        <w:overflowPunct w:val="0"/>
        <w:autoSpaceDE/>
        <w:autoSpaceDN/>
        <w:adjustRightInd/>
        <w:spacing w:before="1" w:line="20" w:lineRule="exact"/>
        <w:ind w:left="43" w:right="14"/>
        <w:jc w:val="both"/>
        <w:textAlignment w:val="baseline"/>
        <w:rPr>
          <w:rFonts w:asciiTheme="minorHAnsi" w:hAnsiTheme="minorHAnsi" w:cstheme="minorHAnsi"/>
          <w:sz w:val="24"/>
          <w:szCs w:val="24"/>
          <w:lang w:val="es-419"/>
        </w:rPr>
      </w:pPr>
    </w:p>
    <w:p w:rsidR="00A06EDA" w:rsidRPr="003226A4" w:rsidRDefault="00CF0CDC" w:rsidP="00A06EDA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>NOTA: Las remuneraciones dependerán del grado académico</w:t>
      </w:r>
    </w:p>
    <w:p w:rsidR="00CF0CDC" w:rsidRPr="003226A4" w:rsidRDefault="00CF0CDC" w:rsidP="00A06EDA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CF0CDC" w:rsidRPr="003226A4" w:rsidRDefault="00CF0CDC" w:rsidP="00867351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 xml:space="preserve">Las inscripciones se recibirán en el Secretaría de la Facultad de </w:t>
      </w:r>
      <w:r w:rsidR="0039768C">
        <w:rPr>
          <w:rFonts w:ascii="Arial" w:hAnsi="Arial" w:cs="Arial"/>
          <w:bCs/>
          <w:iCs/>
          <w:sz w:val="16"/>
          <w:szCs w:val="16"/>
          <w:lang w:val="es-419" w:eastAsia="es-ES"/>
        </w:rPr>
        <w:t>Ingeniería</w:t>
      </w: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 xml:space="preserve"> en el horario de 08:00 a 12:00 y de 15:00 a 17:00, hasta el </w:t>
      </w:r>
      <w:r w:rsidR="003B6E15">
        <w:rPr>
          <w:rFonts w:ascii="Arial" w:hAnsi="Arial" w:cs="Arial"/>
          <w:bCs/>
          <w:iCs/>
          <w:sz w:val="16"/>
          <w:szCs w:val="16"/>
          <w:lang w:val="es-419" w:eastAsia="es-ES"/>
        </w:rPr>
        <w:t>16 de mayo de 2022</w:t>
      </w: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 xml:space="preserve"> y deberán presentar la siguiente documentación, de conformidad con el artículo 4 del Procedimiento para Selección de Personal Académico y Personal de Apoyo:</w:t>
      </w:r>
    </w:p>
    <w:p w:rsidR="00CF0CDC" w:rsidRPr="003226A4" w:rsidRDefault="00CF0CDC" w:rsidP="00A06EDA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CF0CDC" w:rsidRPr="003226A4" w:rsidRDefault="00CF0CDC" w:rsidP="00CF0CDC">
      <w:pPr>
        <w:pStyle w:val="Default"/>
        <w:rPr>
          <w:rFonts w:ascii="Arial" w:hAnsi="Arial" w:cs="Arial"/>
          <w:sz w:val="16"/>
          <w:szCs w:val="16"/>
        </w:rPr>
      </w:pPr>
    </w:p>
    <w:p w:rsidR="00CF0CDC" w:rsidRPr="003226A4" w:rsidRDefault="00CF0CDC" w:rsidP="00CF0CDC">
      <w:pPr>
        <w:pStyle w:val="Default"/>
        <w:spacing w:after="19"/>
        <w:rPr>
          <w:rFonts w:ascii="Arial" w:hAnsi="Arial" w:cs="Arial"/>
          <w:sz w:val="16"/>
          <w:szCs w:val="16"/>
        </w:rPr>
      </w:pPr>
      <w:r w:rsidRPr="003226A4">
        <w:rPr>
          <w:rFonts w:ascii="Arial" w:hAnsi="Arial" w:cs="Arial"/>
          <w:sz w:val="16"/>
          <w:szCs w:val="16"/>
        </w:rPr>
        <w:t xml:space="preserve">a) Solicitud firmada por el peticionario o por una persona que presente autorización por escrito con reconocimiento de firma notarial, dirigida al Rectorado de la Universidad, indicando el área o asignatura del proceso de selección, enumerando los documentos que acompaña y señalando domicilio y dirección de correo electrónico para las notificaciones; </w:t>
      </w:r>
    </w:p>
    <w:p w:rsidR="00CF0CDC" w:rsidRPr="003226A4" w:rsidRDefault="00CF0CDC" w:rsidP="00CF0CDC">
      <w:pPr>
        <w:pStyle w:val="Default"/>
        <w:spacing w:after="19"/>
        <w:rPr>
          <w:rFonts w:ascii="Arial" w:hAnsi="Arial" w:cs="Arial"/>
          <w:sz w:val="16"/>
          <w:szCs w:val="16"/>
        </w:rPr>
      </w:pPr>
      <w:r w:rsidRPr="003226A4">
        <w:rPr>
          <w:rFonts w:ascii="Arial" w:hAnsi="Arial" w:cs="Arial"/>
          <w:sz w:val="16"/>
          <w:szCs w:val="16"/>
        </w:rPr>
        <w:t xml:space="preserve">b) Constancia del registro de los títulos del Órgano Rector de la Política Pública de Educación Superior; </w:t>
      </w:r>
    </w:p>
    <w:p w:rsidR="00CF0CDC" w:rsidRPr="003226A4" w:rsidRDefault="00CF0CDC" w:rsidP="00CF0CDC">
      <w:pPr>
        <w:pStyle w:val="Default"/>
        <w:spacing w:after="19"/>
        <w:rPr>
          <w:rFonts w:ascii="Arial" w:hAnsi="Arial" w:cs="Arial"/>
          <w:sz w:val="16"/>
          <w:szCs w:val="16"/>
        </w:rPr>
      </w:pPr>
      <w:r w:rsidRPr="003226A4">
        <w:rPr>
          <w:rFonts w:ascii="Arial" w:hAnsi="Arial" w:cs="Arial"/>
          <w:sz w:val="16"/>
          <w:szCs w:val="16"/>
        </w:rPr>
        <w:t xml:space="preserve">c) Copia de la cédula de identidad o pasaporte; </w:t>
      </w:r>
    </w:p>
    <w:p w:rsidR="00CF0CDC" w:rsidRPr="003226A4" w:rsidRDefault="00CF0CDC" w:rsidP="00CF0CDC">
      <w:pPr>
        <w:pStyle w:val="Default"/>
        <w:rPr>
          <w:rFonts w:ascii="Arial" w:hAnsi="Arial" w:cs="Arial"/>
          <w:sz w:val="16"/>
          <w:szCs w:val="16"/>
        </w:rPr>
      </w:pPr>
    </w:p>
    <w:p w:rsidR="00CF0CDC" w:rsidRPr="003226A4" w:rsidRDefault="00CF0CDC" w:rsidP="00A06EDA">
      <w:pPr>
        <w:kinsoku w:val="0"/>
        <w:overflowPunct w:val="0"/>
        <w:autoSpaceDE/>
        <w:autoSpaceDN/>
        <w:adjustRightInd/>
        <w:spacing w:before="20" w:line="189" w:lineRule="exact"/>
        <w:ind w:left="173" w:firstLine="720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CF0CDC" w:rsidRPr="003226A4" w:rsidRDefault="00CF0CDC" w:rsidP="00867351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 xml:space="preserve">Documentos para Calificación de Méritos: La puntuación y calificación de méritos se realizará de conformidad a los dispuesto en los artículos 6 y pertinentes del Procedimiento para la selección del personal académico y personal de apoyo académico no titular ocasional de la Universidad de Cuenca, para lo cual </w:t>
      </w:r>
      <w:r w:rsidR="003109D8"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>él</w:t>
      </w: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 xml:space="preserve"> o la aspirante deberá presentar original o copia certificada de los documentos.</w:t>
      </w: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</w:p>
    <w:p w:rsidR="00CF0CDC" w:rsidRPr="003B6E15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  <w:r w:rsidRPr="003B6E15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>Nota:</w:t>
      </w: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>El/la triunfador/a del concurso se sujetará a la dedicación, horario e inicio de actividades de acuerdo a las necesidades académicas planificadas por la Facultad.</w:t>
      </w: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Cs/>
          <w:iCs/>
          <w:sz w:val="16"/>
          <w:szCs w:val="16"/>
          <w:lang w:val="es-419" w:eastAsia="es-ES"/>
        </w:rPr>
        <w:t>Las bases del concurso estarán disponibles en la página web de la Universidad de Cuenca.</w:t>
      </w:r>
    </w:p>
    <w:p w:rsidR="00CF0CDC" w:rsidRPr="003226A4" w:rsidRDefault="00CF0CDC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CF0CDC" w:rsidRPr="003226A4" w:rsidRDefault="00CF0CDC" w:rsidP="00B25486">
      <w:pPr>
        <w:tabs>
          <w:tab w:val="left" w:pos="9795"/>
        </w:tabs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  <w:r w:rsidRPr="003226A4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 xml:space="preserve">Mayor información se proporcionará en la Secretaría Jurídica de la Facultad de </w:t>
      </w:r>
      <w:r w:rsidR="0039768C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>Ingeniería</w:t>
      </w:r>
      <w:r w:rsidRPr="003226A4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>.</w:t>
      </w:r>
      <w:r w:rsidR="00B25486" w:rsidRPr="003226A4">
        <w:rPr>
          <w:rFonts w:ascii="Arial" w:hAnsi="Arial" w:cs="Arial"/>
          <w:b/>
          <w:bCs/>
          <w:iCs/>
          <w:sz w:val="16"/>
          <w:szCs w:val="16"/>
          <w:lang w:val="es-419" w:eastAsia="es-ES"/>
        </w:rPr>
        <w:tab/>
      </w:r>
    </w:p>
    <w:p w:rsidR="00B25486" w:rsidRPr="003226A4" w:rsidRDefault="00B25486" w:rsidP="00B25486">
      <w:pPr>
        <w:tabs>
          <w:tab w:val="left" w:pos="9795"/>
        </w:tabs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B25486" w:rsidRPr="003226A4" w:rsidRDefault="00B25486" w:rsidP="00B25486">
      <w:pPr>
        <w:tabs>
          <w:tab w:val="left" w:pos="9795"/>
        </w:tabs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="Arial" w:hAnsi="Arial" w:cs="Arial"/>
          <w:b/>
          <w:bCs/>
          <w:iCs/>
          <w:sz w:val="16"/>
          <w:szCs w:val="16"/>
          <w:lang w:val="es-419" w:eastAsia="es-ES"/>
        </w:rPr>
      </w:pPr>
    </w:p>
    <w:p w:rsidR="003B6E15" w:rsidRPr="00795BB9" w:rsidRDefault="003B6E15" w:rsidP="003B6E15">
      <w:pPr>
        <w:kinsoku w:val="0"/>
        <w:overflowPunct w:val="0"/>
        <w:spacing w:before="62" w:line="191" w:lineRule="exact"/>
        <w:jc w:val="right"/>
        <w:textAlignment w:val="baseline"/>
        <w:rPr>
          <w:rFonts w:ascii="Arial" w:hAnsi="Arial" w:cs="Arial"/>
          <w:spacing w:val="-4"/>
          <w:sz w:val="16"/>
          <w:szCs w:val="16"/>
          <w:lang w:val="es-EC" w:eastAsia="es-ES"/>
        </w:rPr>
      </w:pPr>
      <w:r w:rsidRPr="00795BB9">
        <w:rPr>
          <w:rFonts w:ascii="Arial" w:hAnsi="Arial" w:cs="Arial"/>
          <w:spacing w:val="-4"/>
          <w:sz w:val="16"/>
          <w:szCs w:val="16"/>
          <w:lang w:val="es-EC" w:eastAsia="es-ES"/>
        </w:rPr>
        <w:t xml:space="preserve">Cuenca, </w:t>
      </w:r>
      <w:r>
        <w:rPr>
          <w:rFonts w:ascii="Arial" w:hAnsi="Arial" w:cs="Arial"/>
          <w:spacing w:val="-4"/>
          <w:sz w:val="16"/>
          <w:szCs w:val="16"/>
          <w:lang w:val="es-EC" w:eastAsia="es-ES"/>
        </w:rPr>
        <w:t>9 de mayo</w:t>
      </w:r>
      <w:r w:rsidRPr="00795BB9">
        <w:rPr>
          <w:rFonts w:ascii="Arial" w:hAnsi="Arial" w:cs="Arial"/>
          <w:spacing w:val="-4"/>
          <w:sz w:val="16"/>
          <w:szCs w:val="16"/>
          <w:lang w:val="es-EC" w:eastAsia="es-ES"/>
        </w:rPr>
        <w:t xml:space="preserve"> de 2022.</w:t>
      </w:r>
    </w:p>
    <w:p w:rsidR="003B6E15" w:rsidRPr="00795BB9" w:rsidRDefault="003B6E15" w:rsidP="003B6E15">
      <w:pPr>
        <w:jc w:val="center"/>
        <w:rPr>
          <w:rFonts w:ascii="Arial" w:eastAsia="Century Gothic" w:hAnsi="Arial" w:cs="Arial"/>
          <w:color w:val="000000"/>
          <w:sz w:val="16"/>
          <w:szCs w:val="16"/>
          <w:lang w:val="es-EC"/>
        </w:rPr>
      </w:pPr>
    </w:p>
    <w:p w:rsidR="003B6E15" w:rsidRPr="00795BB9" w:rsidRDefault="003B6E15" w:rsidP="003B6E15">
      <w:pPr>
        <w:jc w:val="center"/>
        <w:rPr>
          <w:rFonts w:ascii="Arial" w:eastAsia="Century Gothic" w:hAnsi="Arial" w:cs="Arial"/>
          <w:color w:val="000000"/>
          <w:sz w:val="16"/>
          <w:szCs w:val="16"/>
          <w:highlight w:val="green"/>
          <w:lang w:val="es-EC"/>
        </w:rPr>
      </w:pPr>
    </w:p>
    <w:p w:rsidR="003B6E15" w:rsidRPr="00795BB9" w:rsidRDefault="003B6E15" w:rsidP="003B6E15">
      <w:pPr>
        <w:jc w:val="center"/>
        <w:rPr>
          <w:rFonts w:ascii="Arial" w:eastAsia="Century Gothic" w:hAnsi="Arial" w:cs="Arial"/>
          <w:color w:val="000000"/>
          <w:sz w:val="16"/>
          <w:szCs w:val="16"/>
          <w:lang w:val="es-EC"/>
        </w:rPr>
      </w:pPr>
      <w:r>
        <w:rPr>
          <w:rFonts w:ascii="Arial" w:eastAsia="Century Gothic" w:hAnsi="Arial" w:cs="Arial"/>
          <w:color w:val="000000"/>
          <w:sz w:val="16"/>
          <w:szCs w:val="16"/>
          <w:lang w:val="es-EC"/>
        </w:rPr>
        <w:t xml:space="preserve">Econ. Verónica Abril Calle </w:t>
      </w:r>
    </w:p>
    <w:p w:rsidR="003B6E15" w:rsidRPr="00795BB9" w:rsidRDefault="003B6E15" w:rsidP="003B6E15">
      <w:pPr>
        <w:jc w:val="center"/>
        <w:rPr>
          <w:rFonts w:ascii="Arial" w:hAnsi="Arial" w:cs="Arial"/>
          <w:sz w:val="16"/>
          <w:szCs w:val="16"/>
          <w:lang w:val="es-EC"/>
        </w:rPr>
      </w:pPr>
      <w:r>
        <w:rPr>
          <w:rFonts w:ascii="Arial" w:eastAsia="Century Gothic" w:hAnsi="Arial" w:cs="Arial"/>
          <w:b/>
          <w:color w:val="000000"/>
          <w:sz w:val="16"/>
          <w:szCs w:val="16"/>
          <w:lang w:val="es-EC"/>
        </w:rPr>
        <w:t>DIRECTORA</w:t>
      </w:r>
      <w:r w:rsidRPr="00795BB9">
        <w:rPr>
          <w:rFonts w:ascii="Arial" w:eastAsia="Century Gothic" w:hAnsi="Arial" w:cs="Arial"/>
          <w:b/>
          <w:color w:val="000000"/>
          <w:sz w:val="16"/>
          <w:szCs w:val="16"/>
          <w:lang w:val="es-EC"/>
        </w:rPr>
        <w:t xml:space="preserve"> DE TALENTO HUMANO</w:t>
      </w:r>
    </w:p>
    <w:p w:rsidR="00B25486" w:rsidRPr="00CF0CDC" w:rsidRDefault="00B25486" w:rsidP="00CF0CDC">
      <w:pPr>
        <w:kinsoku w:val="0"/>
        <w:overflowPunct w:val="0"/>
        <w:autoSpaceDE/>
        <w:autoSpaceDN/>
        <w:adjustRightInd/>
        <w:spacing w:before="20" w:line="189" w:lineRule="exact"/>
        <w:jc w:val="both"/>
        <w:textAlignment w:val="baseline"/>
        <w:rPr>
          <w:rFonts w:asciiTheme="minorHAnsi" w:hAnsiTheme="minorHAnsi" w:cstheme="minorHAnsi"/>
          <w:b/>
          <w:bCs/>
          <w:iCs/>
          <w:sz w:val="18"/>
          <w:szCs w:val="18"/>
          <w:lang w:val="es-419" w:eastAsia="es-ES"/>
        </w:rPr>
      </w:pPr>
    </w:p>
    <w:p w:rsidR="0029542C" w:rsidRPr="00226739" w:rsidRDefault="0029542C">
      <w:pPr>
        <w:rPr>
          <w:lang w:val="es-419"/>
        </w:rPr>
      </w:pPr>
    </w:p>
    <w:sectPr w:rsidR="0029542C" w:rsidRPr="00226739" w:rsidSect="00A06E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A04"/>
    <w:multiLevelType w:val="hybridMultilevel"/>
    <w:tmpl w:val="4B8A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DA"/>
    <w:rsid w:val="000E1A00"/>
    <w:rsid w:val="000E1FCB"/>
    <w:rsid w:val="001149B2"/>
    <w:rsid w:val="00197DEF"/>
    <w:rsid w:val="00226739"/>
    <w:rsid w:val="0029542C"/>
    <w:rsid w:val="003109D8"/>
    <w:rsid w:val="003226A4"/>
    <w:rsid w:val="0039768C"/>
    <w:rsid w:val="003B2CDC"/>
    <w:rsid w:val="003B6E15"/>
    <w:rsid w:val="003C1D0C"/>
    <w:rsid w:val="003D2ADE"/>
    <w:rsid w:val="004853CD"/>
    <w:rsid w:val="00502969"/>
    <w:rsid w:val="005826C5"/>
    <w:rsid w:val="005C72D7"/>
    <w:rsid w:val="006B3165"/>
    <w:rsid w:val="007F73FB"/>
    <w:rsid w:val="008359F1"/>
    <w:rsid w:val="008564CC"/>
    <w:rsid w:val="00867351"/>
    <w:rsid w:val="008F293E"/>
    <w:rsid w:val="00A06EDA"/>
    <w:rsid w:val="00A46EBA"/>
    <w:rsid w:val="00B25486"/>
    <w:rsid w:val="00B93ED7"/>
    <w:rsid w:val="00BC0794"/>
    <w:rsid w:val="00BC21C5"/>
    <w:rsid w:val="00BF11AE"/>
    <w:rsid w:val="00C754EC"/>
    <w:rsid w:val="00CF0CDC"/>
    <w:rsid w:val="00EA686A"/>
    <w:rsid w:val="00F31C6D"/>
    <w:rsid w:val="00F863F7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ABF"/>
  <w15:chartTrackingRefBased/>
  <w15:docId w15:val="{350E5905-EB6B-4512-A7EC-1542A82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B2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EC"/>
    </w:rPr>
  </w:style>
  <w:style w:type="character" w:styleId="Hipervnculo">
    <w:name w:val="Hyperlink"/>
    <w:basedOn w:val="Fuentedeprrafopredeter"/>
    <w:uiPriority w:val="99"/>
    <w:unhideWhenUsed/>
    <w:rsid w:val="00B254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9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351"/>
    <w:rPr>
      <w:rFonts w:ascii="Segoe UI" w:eastAsiaTheme="minorEastAsia" w:hAnsi="Segoe UI" w:cs="Segoe UI"/>
      <w:sz w:val="18"/>
      <w:szCs w:val="18"/>
      <w:lang w:val="en-U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PABLO SANTIAGO GUZMAN BARROS</cp:lastModifiedBy>
  <cp:revision>4</cp:revision>
  <cp:lastPrinted>2022-05-06T17:39:00Z</cp:lastPrinted>
  <dcterms:created xsi:type="dcterms:W3CDTF">2022-05-06T17:36:00Z</dcterms:created>
  <dcterms:modified xsi:type="dcterms:W3CDTF">2022-05-06T17:49:00Z</dcterms:modified>
</cp:coreProperties>
</file>